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615" w:rsidRDefault="00A47C5C" w:rsidP="00BD4615">
      <w:pPr>
        <w:pStyle w:val="Formatvorlage3"/>
        <w:rPr>
          <w:rFonts w:eastAsia="Times New Roman"/>
          <w:lang w:eastAsia="en-GB"/>
        </w:rPr>
      </w:pPr>
      <w:r>
        <w:t>Form 6</w:t>
      </w:r>
      <w:r w:rsidR="00BD4615">
        <w:t xml:space="preserve">: </w:t>
      </w:r>
      <w:r w:rsidR="00BD4615">
        <w:rPr>
          <w:rFonts w:eastAsia="Times New Roman"/>
          <w:lang w:eastAsia="en-GB"/>
        </w:rPr>
        <w:t>Exclusion criteria</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 xml:space="preserve">An organisation will be excluded from participation in </w:t>
      </w:r>
      <w:proofErr w:type="spellStart"/>
      <w:r w:rsidR="00A47C5C">
        <w:rPr>
          <w:rFonts w:ascii="Open Sans" w:eastAsia="Times New Roman" w:hAnsi="Open Sans" w:cs="Open Sans"/>
          <w:lang w:eastAsia="en-GB"/>
        </w:rPr>
        <w:t>BESTbelt</w:t>
      </w:r>
      <w:proofErr w:type="spellEnd"/>
      <w:r w:rsidRPr="000778BF">
        <w:rPr>
          <w:rFonts w:ascii="Open Sans" w:eastAsia="Times New Roman" w:hAnsi="Open Sans" w:cs="Open Sans"/>
          <w:lang w:eastAsia="en-GB"/>
        </w:rPr>
        <w:t xml:space="preserve"> grant procedures if:</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a) it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b) it has been established by a final judgment or a final administrative decision that the economic operator is in breach of its obligations relating to the payment of taxes or social security contributions in accordance with the applicable law;</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c) it has been established by a final judgment or a final administrative decision that the economic operator is guilty of grave professional misconduct by having violated applicable laws or regulations or ethical standards of the profession to which the economic operator belongs, or by having engaged in any wrongful conduct which has an impact on its professional credibility where such conduct denotes a wrongful intent or gross negligence, including, in particular, any of the following:</w:t>
      </w:r>
    </w:p>
    <w:p w:rsidR="00BD4615" w:rsidRPr="000778BF" w:rsidRDefault="00BD4615" w:rsidP="00BD4615">
      <w:pPr>
        <w:pStyle w:val="Listenabsatz"/>
        <w:numPr>
          <w:ilvl w:val="0"/>
          <w:numId w:val="1"/>
        </w:numPr>
        <w:jc w:val="both"/>
        <w:rPr>
          <w:rFonts w:ascii="Open Sans" w:eastAsia="Times New Roman" w:hAnsi="Open Sans" w:cs="Open Sans"/>
          <w:lang w:eastAsia="en-GB"/>
        </w:rPr>
      </w:pPr>
      <w:r w:rsidRPr="000778BF">
        <w:rPr>
          <w:rFonts w:ascii="Open Sans" w:eastAsia="Times New Roman" w:hAnsi="Open Sans" w:cs="Open Sans"/>
          <w:lang w:eastAsia="en-GB"/>
        </w:rPr>
        <w:t>fraudulently or negligently misrepresenting information required for the verification of the absence of grounds for exclusion or the fulfilment of selection criteria or in the performance of a contract;</w:t>
      </w:r>
    </w:p>
    <w:p w:rsidR="00BD4615" w:rsidRPr="000778BF" w:rsidRDefault="00BD4615" w:rsidP="00BD4615">
      <w:pPr>
        <w:pStyle w:val="Listenabsatz"/>
        <w:numPr>
          <w:ilvl w:val="0"/>
          <w:numId w:val="1"/>
        </w:numPr>
        <w:jc w:val="both"/>
        <w:rPr>
          <w:rFonts w:ascii="Open Sans" w:eastAsia="Times New Roman" w:hAnsi="Open Sans" w:cs="Open Sans"/>
          <w:lang w:eastAsia="en-GB"/>
        </w:rPr>
      </w:pPr>
      <w:r w:rsidRPr="000778BF">
        <w:rPr>
          <w:rFonts w:ascii="Open Sans" w:eastAsia="Times New Roman" w:hAnsi="Open Sans" w:cs="Open Sans"/>
          <w:lang w:eastAsia="en-GB"/>
        </w:rPr>
        <w:t>entering into agreement with other economic operators with the aim of distorting competition;</w:t>
      </w:r>
    </w:p>
    <w:p w:rsidR="00BD4615" w:rsidRPr="000778BF" w:rsidRDefault="00BD4615" w:rsidP="00BD4615">
      <w:pPr>
        <w:pStyle w:val="Listenabsatz"/>
        <w:numPr>
          <w:ilvl w:val="0"/>
          <w:numId w:val="1"/>
        </w:numPr>
        <w:jc w:val="both"/>
        <w:rPr>
          <w:rFonts w:ascii="Open Sans" w:eastAsia="Times New Roman" w:hAnsi="Open Sans" w:cs="Open Sans"/>
          <w:lang w:eastAsia="en-GB"/>
        </w:rPr>
      </w:pPr>
      <w:r w:rsidRPr="000778BF">
        <w:rPr>
          <w:rFonts w:ascii="Open Sans" w:eastAsia="Times New Roman" w:hAnsi="Open Sans" w:cs="Open Sans"/>
          <w:lang w:eastAsia="en-GB"/>
        </w:rPr>
        <w:t>violating intellectual property rights;</w:t>
      </w:r>
    </w:p>
    <w:p w:rsidR="00BD4615" w:rsidRDefault="00BD4615" w:rsidP="00BD4615">
      <w:pPr>
        <w:pStyle w:val="Listenabsatz"/>
        <w:numPr>
          <w:ilvl w:val="0"/>
          <w:numId w:val="1"/>
        </w:numPr>
        <w:jc w:val="both"/>
        <w:rPr>
          <w:rFonts w:ascii="Open Sans" w:eastAsia="Times New Roman" w:hAnsi="Open Sans" w:cs="Open Sans"/>
          <w:lang w:eastAsia="en-GB"/>
        </w:rPr>
      </w:pPr>
      <w:r w:rsidRPr="000778BF">
        <w:rPr>
          <w:rFonts w:ascii="Open Sans" w:eastAsia="Times New Roman" w:hAnsi="Open Sans" w:cs="Open Sans"/>
          <w:lang w:eastAsia="en-GB"/>
        </w:rPr>
        <w:t>attempting to influence the decision-making process of the contracting authority during the procurement procedure;</w:t>
      </w:r>
    </w:p>
    <w:p w:rsidR="00BD4615" w:rsidRPr="000778BF" w:rsidRDefault="00BD4615" w:rsidP="00BD4615">
      <w:pPr>
        <w:pStyle w:val="Listenabsatz"/>
        <w:numPr>
          <w:ilvl w:val="0"/>
          <w:numId w:val="1"/>
        </w:numPr>
        <w:jc w:val="both"/>
        <w:rPr>
          <w:rFonts w:ascii="Open Sans" w:eastAsia="Times New Roman" w:hAnsi="Open Sans" w:cs="Open Sans"/>
          <w:lang w:eastAsia="en-GB"/>
        </w:rPr>
      </w:pPr>
      <w:r w:rsidRPr="000778BF">
        <w:rPr>
          <w:rFonts w:ascii="Open Sans" w:eastAsia="Times New Roman" w:hAnsi="Open Sans" w:cs="Open Sans"/>
          <w:lang w:eastAsia="en-GB"/>
        </w:rPr>
        <w:t xml:space="preserve">attempting to obtain confidential information that may confer upon </w:t>
      </w:r>
      <w:proofErr w:type="gramStart"/>
      <w:r w:rsidRPr="000778BF">
        <w:rPr>
          <w:rFonts w:ascii="Open Sans" w:eastAsia="Times New Roman" w:hAnsi="Open Sans" w:cs="Open Sans"/>
          <w:lang w:eastAsia="en-GB"/>
        </w:rPr>
        <w:t>it</w:t>
      </w:r>
      <w:proofErr w:type="gramEnd"/>
      <w:r w:rsidRPr="000778BF">
        <w:rPr>
          <w:rFonts w:ascii="Open Sans" w:eastAsia="Times New Roman" w:hAnsi="Open Sans" w:cs="Open Sans"/>
          <w:lang w:eastAsia="en-GB"/>
        </w:rPr>
        <w:t xml:space="preserve"> undue advantages in the procurement procedure;</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d) it has been established by a final judgment that the economic operator is guilty of any of the following:</w:t>
      </w:r>
    </w:p>
    <w:p w:rsidR="00BD4615" w:rsidRDefault="00BD4615" w:rsidP="00BD4615">
      <w:pPr>
        <w:pStyle w:val="Listenabsatz"/>
        <w:numPr>
          <w:ilvl w:val="0"/>
          <w:numId w:val="2"/>
        </w:numPr>
        <w:jc w:val="both"/>
        <w:rPr>
          <w:rFonts w:ascii="Open Sans" w:eastAsia="Times New Roman" w:hAnsi="Open Sans" w:cs="Open Sans"/>
          <w:lang w:eastAsia="en-GB"/>
        </w:rPr>
      </w:pPr>
      <w:r w:rsidRPr="000778BF">
        <w:rPr>
          <w:rFonts w:ascii="Open Sans" w:eastAsia="Times New Roman" w:hAnsi="Open Sans" w:cs="Open Sans"/>
          <w:lang w:eastAsia="en-GB"/>
        </w:rPr>
        <w:t>fraud, within the meaning of Article 3 of Directive (EU) 2017/1371 of the European Parliament and of the Council of 5 July 2017 on the fight against fraud to the Union's financial interests by means of criminal law</w:t>
      </w:r>
      <w:r w:rsidRPr="000778BF">
        <w:rPr>
          <w:rFonts w:ascii="Open Sans" w:eastAsia="Times New Roman" w:hAnsi="Open Sans" w:cs="Open Sans"/>
          <w:sz w:val="14"/>
          <w:szCs w:val="14"/>
          <w:bdr w:val="none" w:sz="0" w:space="0" w:color="auto" w:frame="1"/>
          <w:vertAlign w:val="superscript"/>
          <w:lang w:eastAsia="en-GB"/>
        </w:rPr>
        <w:t>72</w:t>
      </w:r>
      <w:r w:rsidRPr="000778BF">
        <w:rPr>
          <w:rFonts w:ascii="Open Sans" w:eastAsia="Times New Roman" w:hAnsi="Open Sans" w:cs="Open Sans"/>
          <w:lang w:eastAsia="en-GB"/>
        </w:rPr>
        <w:t> and Article 1 of the Convention on the protection of the European Communities' financial interests drawn up by the Council Act of 26 July 1995</w:t>
      </w:r>
      <w:r w:rsidRPr="000778BF">
        <w:rPr>
          <w:rFonts w:ascii="Open Sans" w:eastAsia="Times New Roman" w:hAnsi="Open Sans" w:cs="Open Sans"/>
          <w:sz w:val="14"/>
          <w:szCs w:val="14"/>
          <w:bdr w:val="none" w:sz="0" w:space="0" w:color="auto" w:frame="1"/>
          <w:vertAlign w:val="superscript"/>
          <w:lang w:eastAsia="en-GB"/>
        </w:rPr>
        <w:t>73</w:t>
      </w:r>
      <w:r w:rsidRPr="000778BF">
        <w:rPr>
          <w:rFonts w:ascii="Open Sans" w:eastAsia="Times New Roman" w:hAnsi="Open Sans" w:cs="Open Sans"/>
          <w:lang w:eastAsia="en-GB"/>
        </w:rPr>
        <w:t>;</w:t>
      </w:r>
    </w:p>
    <w:p w:rsidR="007261B6" w:rsidRDefault="00BD4615" w:rsidP="00BD4615">
      <w:pPr>
        <w:pStyle w:val="Listenabsatz"/>
        <w:numPr>
          <w:ilvl w:val="0"/>
          <w:numId w:val="2"/>
        </w:numPr>
        <w:jc w:val="both"/>
        <w:rPr>
          <w:rFonts w:ascii="Open Sans" w:eastAsia="Times New Roman" w:hAnsi="Open Sans" w:cs="Open Sans"/>
          <w:lang w:eastAsia="en-GB"/>
        </w:rPr>
      </w:pPr>
      <w:r w:rsidRPr="000778BF">
        <w:rPr>
          <w:rFonts w:ascii="Open Sans" w:eastAsia="Times New Roman" w:hAnsi="Open Sans" w:cs="Open Sans"/>
          <w:lang w:eastAsia="en-GB"/>
        </w:rPr>
        <w:t>corruption, as defined in Article 4(2) of Directive (EU) 2017/1371 and Article 3 of the Convention on the fight against corruption involving officials of the European Communities or officials of Member States of the European Union, drawn up by the Council Act of 26 May 1997</w:t>
      </w:r>
      <w:r w:rsidRPr="000778BF">
        <w:rPr>
          <w:rFonts w:ascii="Open Sans" w:eastAsia="Times New Roman" w:hAnsi="Open Sans" w:cs="Open Sans"/>
          <w:sz w:val="14"/>
          <w:szCs w:val="14"/>
          <w:bdr w:val="none" w:sz="0" w:space="0" w:color="auto" w:frame="1"/>
          <w:vertAlign w:val="superscript"/>
          <w:lang w:eastAsia="en-GB"/>
        </w:rPr>
        <w:t>74</w:t>
      </w:r>
      <w:r w:rsidRPr="000778BF">
        <w:rPr>
          <w:rFonts w:ascii="Open Sans" w:eastAsia="Times New Roman" w:hAnsi="Open Sans" w:cs="Open Sans"/>
          <w:lang w:eastAsia="en-GB"/>
        </w:rPr>
        <w:t>, and in Article 2(1) of Council Framework Decision 2003/568/JHA of 22 July 2003 on combating corruption in the private sector</w:t>
      </w:r>
      <w:r w:rsidRPr="000778BF">
        <w:rPr>
          <w:rFonts w:ascii="Open Sans" w:eastAsia="Times New Roman" w:hAnsi="Open Sans" w:cs="Open Sans"/>
          <w:sz w:val="14"/>
          <w:szCs w:val="14"/>
          <w:bdr w:val="none" w:sz="0" w:space="0" w:color="auto" w:frame="1"/>
          <w:vertAlign w:val="superscript"/>
          <w:lang w:eastAsia="en-GB"/>
        </w:rPr>
        <w:t>75</w:t>
      </w:r>
      <w:r w:rsidRPr="000778BF">
        <w:rPr>
          <w:rFonts w:ascii="Open Sans" w:eastAsia="Times New Roman" w:hAnsi="Open Sans" w:cs="Open Sans"/>
          <w:lang w:eastAsia="en-GB"/>
        </w:rPr>
        <w:t>, as well as corruption as defined in the law of the country where the contracting authority is located, the country in which the economic operator is established or the country of the performance of the contract;</w:t>
      </w:r>
    </w:p>
    <w:p w:rsidR="00BD4615" w:rsidRPr="007261B6" w:rsidRDefault="00BD4615" w:rsidP="007261B6">
      <w:pPr>
        <w:rPr>
          <w:lang w:eastAsia="en-GB"/>
        </w:rPr>
      </w:pPr>
    </w:p>
    <w:p w:rsidR="00BD4615" w:rsidRDefault="00BD4615" w:rsidP="00BD4615">
      <w:pPr>
        <w:pStyle w:val="Listenabsatz"/>
        <w:numPr>
          <w:ilvl w:val="0"/>
          <w:numId w:val="2"/>
        </w:numPr>
        <w:jc w:val="both"/>
        <w:rPr>
          <w:rFonts w:ascii="Open Sans" w:eastAsia="Times New Roman" w:hAnsi="Open Sans" w:cs="Open Sans"/>
          <w:lang w:eastAsia="en-GB"/>
        </w:rPr>
      </w:pPr>
      <w:r w:rsidRPr="000778BF">
        <w:rPr>
          <w:rFonts w:ascii="Open Sans" w:eastAsia="Times New Roman" w:hAnsi="Open Sans" w:cs="Open Sans"/>
          <w:lang w:eastAsia="en-GB"/>
        </w:rPr>
        <w:t>conduct related to a criminal organisation referred to in Article 2 of Council Framework Decision 2008/841/JHA of 24 October 2008 on the fight against organised crime</w:t>
      </w:r>
      <w:r w:rsidRPr="000778BF">
        <w:rPr>
          <w:rFonts w:ascii="Open Sans" w:eastAsia="Times New Roman" w:hAnsi="Open Sans" w:cs="Open Sans"/>
          <w:sz w:val="14"/>
          <w:szCs w:val="14"/>
          <w:bdr w:val="none" w:sz="0" w:space="0" w:color="auto" w:frame="1"/>
          <w:vertAlign w:val="superscript"/>
          <w:lang w:eastAsia="en-GB"/>
        </w:rPr>
        <w:t>76</w:t>
      </w:r>
      <w:r w:rsidRPr="000778BF">
        <w:rPr>
          <w:rFonts w:ascii="Open Sans" w:eastAsia="Times New Roman" w:hAnsi="Open Sans" w:cs="Open Sans"/>
          <w:lang w:eastAsia="en-GB"/>
        </w:rPr>
        <w:t>;</w:t>
      </w:r>
    </w:p>
    <w:p w:rsidR="00BD4615" w:rsidRDefault="00BD4615" w:rsidP="00BD4615">
      <w:pPr>
        <w:pStyle w:val="Listenabsatz"/>
        <w:numPr>
          <w:ilvl w:val="0"/>
          <w:numId w:val="2"/>
        </w:numPr>
        <w:jc w:val="both"/>
        <w:rPr>
          <w:rFonts w:ascii="Open Sans" w:eastAsia="Times New Roman" w:hAnsi="Open Sans" w:cs="Open Sans"/>
          <w:lang w:eastAsia="en-GB"/>
        </w:rPr>
      </w:pPr>
      <w:r w:rsidRPr="000778BF">
        <w:rPr>
          <w:rFonts w:ascii="Open Sans" w:eastAsia="Times New Roman" w:hAnsi="Open Sans" w:cs="Open Sans"/>
          <w:lang w:eastAsia="en-GB"/>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sidRPr="000778BF">
        <w:rPr>
          <w:rFonts w:ascii="Open Sans" w:eastAsia="Times New Roman" w:hAnsi="Open Sans" w:cs="Open Sans"/>
          <w:sz w:val="14"/>
          <w:szCs w:val="14"/>
          <w:bdr w:val="none" w:sz="0" w:space="0" w:color="auto" w:frame="1"/>
          <w:vertAlign w:val="superscript"/>
          <w:lang w:eastAsia="en-GB"/>
        </w:rPr>
        <w:t>77</w:t>
      </w:r>
      <w:r w:rsidRPr="000778BF">
        <w:rPr>
          <w:rFonts w:ascii="Open Sans" w:eastAsia="Times New Roman" w:hAnsi="Open Sans" w:cs="Open Sans"/>
          <w:lang w:eastAsia="en-GB"/>
        </w:rPr>
        <w:t>;</w:t>
      </w:r>
    </w:p>
    <w:p w:rsidR="00BD4615" w:rsidRDefault="00BD4615" w:rsidP="00BD4615">
      <w:pPr>
        <w:pStyle w:val="Listenabsatz"/>
        <w:numPr>
          <w:ilvl w:val="0"/>
          <w:numId w:val="2"/>
        </w:numPr>
        <w:jc w:val="both"/>
        <w:rPr>
          <w:rFonts w:ascii="Open Sans" w:eastAsia="Times New Roman" w:hAnsi="Open Sans" w:cs="Open Sans"/>
          <w:lang w:eastAsia="en-GB"/>
        </w:rPr>
      </w:pPr>
      <w:r w:rsidRPr="000778BF">
        <w:rPr>
          <w:rFonts w:ascii="Open Sans" w:eastAsia="Times New Roman" w:hAnsi="Open Sans" w:cs="Open Sans"/>
          <w:lang w:eastAsia="en-GB"/>
        </w:rPr>
        <w:t>terrorist-related offences or offences linked to terrorist activities, as defined in Articles 1 and 3 of Council Framework Decision of 13 June 2002 on combating terrorism</w:t>
      </w:r>
      <w:r w:rsidRPr="000778BF">
        <w:rPr>
          <w:rFonts w:ascii="Open Sans" w:eastAsia="Times New Roman" w:hAnsi="Open Sans" w:cs="Open Sans"/>
          <w:sz w:val="14"/>
          <w:szCs w:val="14"/>
          <w:bdr w:val="none" w:sz="0" w:space="0" w:color="auto" w:frame="1"/>
          <w:vertAlign w:val="superscript"/>
          <w:lang w:eastAsia="en-GB"/>
        </w:rPr>
        <w:t>78</w:t>
      </w:r>
      <w:r w:rsidRPr="000778BF">
        <w:rPr>
          <w:rFonts w:ascii="Open Sans" w:eastAsia="Times New Roman" w:hAnsi="Open Sans" w:cs="Open Sans"/>
          <w:lang w:eastAsia="en-GB"/>
        </w:rPr>
        <w:t>, respectively, or inciting or aiding or abetting or attempting to commit such offences, as referred to in Article 4 of that Framework Decision;</w:t>
      </w:r>
    </w:p>
    <w:p w:rsidR="00BD4615" w:rsidRPr="000778BF" w:rsidRDefault="00BD4615" w:rsidP="00BD4615">
      <w:pPr>
        <w:pStyle w:val="Listenabsatz"/>
        <w:numPr>
          <w:ilvl w:val="0"/>
          <w:numId w:val="2"/>
        </w:numPr>
        <w:jc w:val="both"/>
        <w:rPr>
          <w:rFonts w:ascii="Open Sans" w:eastAsia="Times New Roman" w:hAnsi="Open Sans" w:cs="Open Sans"/>
          <w:lang w:eastAsia="en-GB"/>
        </w:rPr>
      </w:pPr>
      <w:r w:rsidRPr="000778BF">
        <w:rPr>
          <w:rFonts w:ascii="Open Sans" w:eastAsia="Times New Roman" w:hAnsi="Open Sans" w:cs="Open Sans"/>
          <w:lang w:eastAsia="en-GB"/>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Pr="000778BF">
        <w:rPr>
          <w:rFonts w:ascii="Open Sans" w:eastAsia="Times New Roman" w:hAnsi="Open Sans" w:cs="Open Sans"/>
          <w:sz w:val="14"/>
          <w:szCs w:val="14"/>
          <w:bdr w:val="none" w:sz="0" w:space="0" w:color="auto" w:frame="1"/>
          <w:vertAlign w:val="superscript"/>
          <w:lang w:eastAsia="en-GB"/>
        </w:rPr>
        <w:t>79</w:t>
      </w:r>
      <w:r w:rsidRPr="000778BF">
        <w:rPr>
          <w:rFonts w:ascii="Open Sans" w:eastAsia="Times New Roman" w:hAnsi="Open Sans" w:cs="Open Sans"/>
          <w:lang w:eastAsia="en-GB"/>
        </w:rPr>
        <w:t>;</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e) the economic operator has shown significant deficiencies in complying with main obligations in the performance of a contract financed by the EU, which has led to the early termination of a legal commitment or to the application of liquidated damages or other contractual penalties or which has been discovered following checks and audits or investigations by an authorising officer, OLAF or the Court of Auditors;</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f) it has been established by a final judgment or final administrative decision that the economic operator has committed an irregularity within the meaning of Article 1(2) of Council Regulation (EC, Euratom) No 2988/95 of 18 December 1995 on the protection of the European Communities financial interests</w:t>
      </w:r>
      <w:r w:rsidRPr="000778BF">
        <w:rPr>
          <w:rFonts w:ascii="Open Sans" w:eastAsia="Times New Roman" w:hAnsi="Open Sans" w:cs="Open Sans"/>
          <w:sz w:val="14"/>
          <w:szCs w:val="14"/>
          <w:bdr w:val="none" w:sz="0" w:space="0" w:color="auto" w:frame="1"/>
          <w:vertAlign w:val="superscript"/>
          <w:lang w:eastAsia="en-GB"/>
        </w:rPr>
        <w:t>80</w:t>
      </w:r>
      <w:r w:rsidRPr="000778BF">
        <w:rPr>
          <w:rFonts w:ascii="Open Sans" w:eastAsia="Times New Roman" w:hAnsi="Open Sans" w:cs="Open Sans"/>
          <w:lang w:eastAsia="en-GB"/>
        </w:rPr>
        <w:t>.</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g)  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h) it has been established by a final judgment or final administrative decision that an entity has been created with the intent provided for in point (g).</w:t>
      </w:r>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Point a) does not apply to the purchase of supplies on particularly advantageous terms from either a supplier that is definitively winding up its business activities or from liquidators of an insolvency procedure, an arrangement with creditors, or a similar procedure under EU or national law.</w:t>
      </w:r>
    </w:p>
    <w:p w:rsidR="00BD7B74" w:rsidRDefault="00BD4615" w:rsidP="007261B6">
      <w:pPr>
        <w:jc w:val="both"/>
        <w:rPr>
          <w:rFonts w:ascii="Open Sans" w:eastAsia="Times New Roman" w:hAnsi="Open Sans" w:cs="Open Sans"/>
          <w:lang w:eastAsia="en-GB"/>
        </w:rPr>
      </w:pPr>
      <w:r w:rsidRPr="000778BF">
        <w:rPr>
          <w:rFonts w:ascii="Open Sans" w:eastAsia="Times New Roman" w:hAnsi="Open Sans" w:cs="Open Sans"/>
          <w:lang w:eastAsia="en-GB"/>
        </w:rPr>
        <w:t xml:space="preserve">In cases referred to in points c), d), f), g) and h) in the absence of a final judgment or a final administrative decision, or in the case referred to in point e), the contracting authority must exclude an economic operator on the basis of a preliminary classification in law having regard to established facts or other findings contained in the recommendation of the EDES panel. </w:t>
      </w:r>
      <w:bookmarkStart w:id="0" w:name="_GoBack"/>
      <w:bookmarkEnd w:id="0"/>
    </w:p>
    <w:p w:rsidR="00BD4615" w:rsidRPr="000778BF"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lastRenderedPageBreak/>
        <w:t>The EDES panel ensures a centralised assessment of those situations after giving the economic operator the opportunity to submit its observations. In indirect management, where applicable according to the correspondent financing or contribution agreement, the contracting authority will transmit the information to the Commission and the Commission may refer the case to the EDES panel.</w:t>
      </w:r>
    </w:p>
    <w:tbl>
      <w:tblPr>
        <w:tblW w:w="9072" w:type="dxa"/>
        <w:tblCellMar>
          <w:top w:w="15" w:type="dxa"/>
          <w:left w:w="15" w:type="dxa"/>
          <w:bottom w:w="15" w:type="dxa"/>
          <w:right w:w="15" w:type="dxa"/>
        </w:tblCellMar>
        <w:tblLook w:val="04A0" w:firstRow="1" w:lastRow="0" w:firstColumn="1" w:lastColumn="0" w:noHBand="0" w:noVBand="1"/>
      </w:tblPr>
      <w:tblGrid>
        <w:gridCol w:w="9072"/>
      </w:tblGrid>
      <w:tr w:rsidR="00BD4615" w:rsidRPr="000778BF" w:rsidTr="00BA103B">
        <w:tc>
          <w:tcPr>
            <w:tcW w:w="9072" w:type="dxa"/>
            <w:shd w:val="clear" w:color="auto" w:fill="auto"/>
            <w:tcMar>
              <w:top w:w="150" w:type="dxa"/>
              <w:left w:w="150" w:type="dxa"/>
              <w:bottom w:w="150" w:type="dxa"/>
              <w:right w:w="150" w:type="dxa"/>
            </w:tcMar>
            <w:hideMark/>
          </w:tcPr>
          <w:p w:rsidR="00BD4615" w:rsidRPr="000778BF" w:rsidRDefault="00BD4615" w:rsidP="00BA103B">
            <w:pPr>
              <w:jc w:val="both"/>
              <w:rPr>
                <w:rFonts w:ascii="Open Sans" w:eastAsia="Times New Roman" w:hAnsi="Open Sans" w:cs="Open Sans"/>
                <w:lang w:eastAsia="en-GB"/>
              </w:rPr>
            </w:pPr>
            <w:r w:rsidRPr="000778BF">
              <w:rPr>
                <w:rFonts w:ascii="Open Sans" w:eastAsia="Times New Roman" w:hAnsi="Open Sans" w:cs="Open Sans"/>
                <w:lang w:eastAsia="en-GB"/>
              </w:rPr>
              <w:t>With reference to taxation avoidance and money laundering, the following exclusion criteria apply:</w:t>
            </w:r>
          </w:p>
          <w:p w:rsidR="00BD4615" w:rsidRPr="000778BF" w:rsidRDefault="00BD4615" w:rsidP="00BA103B">
            <w:pPr>
              <w:jc w:val="both"/>
              <w:rPr>
                <w:rFonts w:ascii="Open Sans" w:eastAsia="Times New Roman" w:hAnsi="Open Sans" w:cs="Open Sans"/>
                <w:lang w:eastAsia="en-GB"/>
              </w:rPr>
            </w:pPr>
            <w:r w:rsidRPr="000778BF">
              <w:rPr>
                <w:rFonts w:ascii="Open Sans" w:eastAsia="Times New Roman" w:hAnsi="Open Sans" w:cs="Open Sans"/>
                <w:lang w:eastAsia="en-GB"/>
              </w:rPr>
              <w:t>1) breach of obligations relating to the payment of taxes or social security contributions in accordance with the applicable law (point (b) above);</w:t>
            </w:r>
          </w:p>
          <w:p w:rsidR="00BD4615" w:rsidRPr="000778BF" w:rsidRDefault="00BD4615" w:rsidP="00BA103B">
            <w:pPr>
              <w:jc w:val="both"/>
              <w:rPr>
                <w:rFonts w:ascii="Open Sans" w:eastAsia="Times New Roman" w:hAnsi="Open Sans" w:cs="Open Sans"/>
                <w:lang w:eastAsia="en-GB"/>
              </w:rPr>
            </w:pPr>
            <w:r w:rsidRPr="000778BF">
              <w:rPr>
                <w:rFonts w:ascii="Open Sans" w:eastAsia="Times New Roman" w:hAnsi="Open Sans" w:cs="Open Sans"/>
                <w:lang w:eastAsia="en-GB"/>
              </w:rPr>
              <w:t>2) involvement in money laundering or terrorism financing as defined in Directive (EU) 2015/849 (point (d)(iv) above);</w:t>
            </w:r>
          </w:p>
          <w:p w:rsidR="00BD4615" w:rsidRPr="000778BF" w:rsidRDefault="00BD4615" w:rsidP="00BA103B">
            <w:pPr>
              <w:jc w:val="both"/>
              <w:rPr>
                <w:rFonts w:ascii="Open Sans" w:eastAsia="Times New Roman" w:hAnsi="Open Sans" w:cs="Open Sans"/>
                <w:lang w:eastAsia="en-GB"/>
              </w:rPr>
            </w:pPr>
            <w:r w:rsidRPr="000778BF">
              <w:rPr>
                <w:rFonts w:ascii="Open Sans" w:eastAsia="Times New Roman" w:hAnsi="Open Sans" w:cs="Open Sans"/>
                <w:lang w:eastAsia="en-GB"/>
              </w:rPr>
              <w:t>3) creation of an entity to circumvent tax, social or other legal obligations (empty shell company) (points (g) and (h) above).</w:t>
            </w:r>
          </w:p>
          <w:p w:rsidR="00BD4615" w:rsidRPr="000778BF" w:rsidRDefault="00BD4615" w:rsidP="00BA103B">
            <w:pPr>
              <w:jc w:val="both"/>
              <w:rPr>
                <w:rFonts w:ascii="Open Sans" w:eastAsia="Times New Roman" w:hAnsi="Open Sans" w:cs="Open Sans"/>
                <w:lang w:eastAsia="en-GB"/>
              </w:rPr>
            </w:pPr>
            <w:r w:rsidRPr="000778BF">
              <w:rPr>
                <w:rFonts w:ascii="Open Sans" w:eastAsia="Times New Roman" w:hAnsi="Open Sans" w:cs="Open Sans"/>
                <w:lang w:eastAsia="en-GB"/>
              </w:rPr>
              <w:t>For the first case (breach of obligations relating to taxes or social security), a final judgement or final administrative decision is required in order to exclude an entity. For the second (</w:t>
            </w:r>
            <w:r w:rsidRPr="000778BF">
              <w:rPr>
                <w:rFonts w:ascii="Open Sans" w:eastAsia="Times New Roman" w:hAnsi="Open Sans" w:cs="Open Sans"/>
                <w:u w:val="single"/>
                <w:lang w:eastAsia="en-GB"/>
              </w:rPr>
              <w:t>involvement in money laundering or terrorism financing</w:t>
            </w:r>
            <w:r w:rsidRPr="000778BF">
              <w:rPr>
                <w:rFonts w:ascii="Open Sans" w:eastAsia="Times New Roman" w:hAnsi="Open Sans" w:cs="Open Sans"/>
                <w:lang w:eastAsia="en-GB"/>
              </w:rPr>
              <w:t>) and the third case (</w:t>
            </w:r>
            <w:r w:rsidRPr="000778BF">
              <w:rPr>
                <w:rFonts w:ascii="Open Sans" w:eastAsia="Times New Roman" w:hAnsi="Open Sans" w:cs="Open Sans"/>
                <w:u w:val="single"/>
                <w:lang w:eastAsia="en-GB"/>
              </w:rPr>
              <w:t>creation of an entity to circumvent tax, social or other legal obligations</w:t>
            </w:r>
            <w:r w:rsidRPr="000778BF">
              <w:rPr>
                <w:rFonts w:ascii="Open Sans" w:eastAsia="Times New Roman" w:hAnsi="Open Sans" w:cs="Open Sans"/>
                <w:lang w:eastAsia="en-GB"/>
              </w:rPr>
              <w:t xml:space="preserve">), the authorising officer can bring the case before the EDES panel (see Section </w:t>
            </w:r>
            <w:hyperlink r:id="rId7" w:tooltip="Exclusion criteria" w:history="1">
              <w:r w:rsidRPr="000778BF">
                <w:rPr>
                  <w:rFonts w:ascii="Open Sans" w:eastAsia="Times New Roman" w:hAnsi="Open Sans" w:cs="Open Sans"/>
                  <w:color w:val="2D2DCB"/>
                  <w:u w:val="single"/>
                  <w:bdr w:val="none" w:sz="0" w:space="0" w:color="auto" w:frame="1"/>
                  <w:lang w:eastAsia="en-GB"/>
                </w:rPr>
                <w:t>2.6.10.1.</w:t>
              </w:r>
            </w:hyperlink>
            <w:r w:rsidRPr="000778BF">
              <w:rPr>
                <w:rFonts w:ascii="Open Sans" w:eastAsia="Times New Roman" w:hAnsi="Open Sans" w:cs="Open Sans"/>
                <w:lang w:eastAsia="en-GB"/>
              </w:rPr>
              <w:t>) at any moment of the implementation of EU funds, on the basis of established facts and findings brought to its attention.</w:t>
            </w:r>
          </w:p>
        </w:tc>
      </w:tr>
    </w:tbl>
    <w:p w:rsidR="00BD4615" w:rsidRDefault="00BD4615" w:rsidP="00BD4615">
      <w:pPr>
        <w:jc w:val="both"/>
        <w:rPr>
          <w:rFonts w:ascii="Open Sans" w:eastAsia="Times New Roman" w:hAnsi="Open Sans" w:cs="Open Sans"/>
          <w:lang w:eastAsia="en-GB"/>
        </w:rPr>
      </w:pPr>
      <w:r w:rsidRPr="000778BF">
        <w:rPr>
          <w:rFonts w:ascii="Open Sans" w:eastAsia="Times New Roman" w:hAnsi="Open Sans" w:cs="Open Sans"/>
          <w:lang w:eastAsia="en-GB"/>
        </w:rPr>
        <w:t xml:space="preserve">Applicants are obliged to declare that they are not in one of the exclusion grounds mentioned </w:t>
      </w:r>
      <w:r w:rsidRPr="00D33860">
        <w:rPr>
          <w:rFonts w:ascii="Open Sans" w:eastAsia="Times New Roman" w:hAnsi="Open Sans" w:cs="Open Sans"/>
          <w:lang w:eastAsia="en-GB"/>
        </w:rPr>
        <w:t xml:space="preserve">above through a signed declaration on honour (see </w:t>
      </w:r>
      <w:r w:rsidR="00A47C5C">
        <w:rPr>
          <w:rFonts w:ascii="Open Sans" w:eastAsia="Times New Roman" w:hAnsi="Open Sans" w:cs="Open Sans"/>
          <w:lang w:eastAsia="en-GB"/>
        </w:rPr>
        <w:t>Form 2</w:t>
      </w:r>
      <w:r w:rsidRPr="00D33860">
        <w:rPr>
          <w:rFonts w:ascii="Open Sans" w:eastAsia="Times New Roman" w:hAnsi="Open Sans" w:cs="Open Sans"/>
          <w:lang w:eastAsia="en-GB"/>
        </w:rPr>
        <w:t>).</w:t>
      </w:r>
    </w:p>
    <w:p w:rsidR="00502E98" w:rsidRDefault="00502E98"/>
    <w:sectPr w:rsidR="00502E98" w:rsidSect="007261B6">
      <w:headerReference w:type="default" r:id="rId8"/>
      <w:footerReference w:type="default" r:id="rId9"/>
      <w:pgSz w:w="11906" w:h="16838"/>
      <w:pgMar w:top="1418" w:right="1418" w:bottom="1134" w:left="1418"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49A" w:rsidRDefault="0054749A" w:rsidP="0054749A">
      <w:pPr>
        <w:spacing w:before="0" w:after="0" w:line="240" w:lineRule="auto"/>
      </w:pPr>
      <w:r>
        <w:separator/>
      </w:r>
    </w:p>
  </w:endnote>
  <w:endnote w:type="continuationSeparator" w:id="0">
    <w:p w:rsidR="0054749A" w:rsidRDefault="0054749A" w:rsidP="005474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1B6" w:rsidRPr="00D428F8" w:rsidRDefault="007261B6" w:rsidP="007261B6">
    <w:pPr>
      <w:pStyle w:val="Fuzeile"/>
      <w:rPr>
        <w:sz w:val="10"/>
      </w:rPr>
    </w:pPr>
    <w:bookmarkStart w:id="1" w:name="_Hlk96347058"/>
    <w:bookmarkStart w:id="2" w:name="_Hlk96347059"/>
    <w:bookmarkStart w:id="3" w:name="_Hlk96347074"/>
    <w:bookmarkStart w:id="4" w:name="_Hlk96347075"/>
    <w:bookmarkStart w:id="5" w:name="_Hlk96347332"/>
    <w:bookmarkStart w:id="6" w:name="_Hlk96347333"/>
    <w:r w:rsidRPr="00D428F8">
      <w:rPr>
        <w:noProof/>
        <w:sz w:val="10"/>
      </w:rPr>
      <mc:AlternateContent>
        <mc:Choice Requires="wps">
          <w:drawing>
            <wp:anchor distT="45720" distB="45720" distL="114300" distR="114300" simplePos="0" relativeHeight="251660288" behindDoc="0" locked="0" layoutInCell="1" allowOverlap="1" wp14:anchorId="784848D5" wp14:editId="081EFB3C">
              <wp:simplePos x="0" y="0"/>
              <wp:positionH relativeFrom="margin">
                <wp:posOffset>3115310</wp:posOffset>
              </wp:positionH>
              <wp:positionV relativeFrom="paragraph">
                <wp:posOffset>-8890</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rsidR="007261B6" w:rsidRPr="00177B41" w:rsidRDefault="007261B6" w:rsidP="007261B6">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4848D5" id="_x0000_t202" coordsize="21600,21600" o:spt="202" path="m,l,21600r21600,l21600,xe">
              <v:stroke joinstyle="miter"/>
              <v:path gradientshapeok="t" o:connecttype="rect"/>
            </v:shapetype>
            <v:shape id="Textfeld 2" o:spid="_x0000_s1026" type="#_x0000_t202" style="position:absolute;margin-left:245.3pt;margin-top:-.7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" filled="f" stroked="f">
              <v:textbox>
                <w:txbxContent>
                  <w:p w:rsidR="007261B6" w:rsidRPr="00177B41" w:rsidRDefault="007261B6" w:rsidP="007261B6">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p>
  <w:p w:rsidR="007261B6" w:rsidRDefault="007261B6" w:rsidP="007261B6">
    <w:pPr>
      <w:pStyle w:val="Fuzeile"/>
    </w:pPr>
    <w:bookmarkStart w:id="7" w:name="_Hlk95474955"/>
    <w:bookmarkStart w:id="8" w:name="_Hlk95474954"/>
    <w:bookmarkStart w:id="9" w:name="_Hlk95474848"/>
    <w:bookmarkStart w:id="10" w:name="_Hlk95474847"/>
    <w:bookmarkStart w:id="11" w:name="_Hlk95474762"/>
    <w:bookmarkStart w:id="12" w:name="_Hlk95474761"/>
    <w:bookmarkStart w:id="13" w:name="_Hlk95474734"/>
    <w:bookmarkStart w:id="14" w:name="_Hlk95474733"/>
    <w:bookmarkStart w:id="15" w:name="_Hlk95474659"/>
    <w:bookmarkStart w:id="16" w:name="_Hlk95474658"/>
    <w:bookmarkStart w:id="17" w:name="_Hlk95474628"/>
    <w:bookmarkStart w:id="18" w:name="_Hlk95474627"/>
    <w:bookmarkStart w:id="19" w:name="_Hlk95474552"/>
    <w:bookmarkStart w:id="20" w:name="_Hlk95474551"/>
    <w:r>
      <w:rPr>
        <w:noProof/>
        <w:lang w:val="de-DE" w:eastAsia="de-DE"/>
      </w:rPr>
      <w:drawing>
        <wp:anchor distT="0" distB="0" distL="114300" distR="114300" simplePos="0" relativeHeight="251659264" behindDoc="0" locked="0" layoutInCell="1" allowOverlap="1" wp14:anchorId="2798D6FC" wp14:editId="2D7C3F24">
          <wp:simplePos x="0" y="0"/>
          <wp:positionH relativeFrom="margin">
            <wp:align>center</wp:align>
          </wp:positionH>
          <wp:positionV relativeFrom="paragraph">
            <wp:posOffset>17145</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
    <w:bookmarkEnd w:id="8"/>
    <w:bookmarkEnd w:id="9"/>
    <w:bookmarkEnd w:id="10"/>
    <w:bookmarkEnd w:id="11"/>
    <w:bookmarkEnd w:id="12"/>
    <w:bookmarkEnd w:id="13"/>
    <w:bookmarkEnd w:id="14"/>
    <w:bookmarkEnd w:id="15"/>
    <w:bookmarkEnd w:id="16"/>
    <w:bookmarkEnd w:id="17"/>
    <w:bookmarkEnd w:id="18"/>
    <w:bookmarkEnd w:id="19"/>
    <w:bookmarkEnd w:id="20"/>
    <w:r>
      <w:rPr>
        <w:noProof/>
      </w:rPr>
      <w:drawing>
        <wp:anchor distT="0" distB="0" distL="114300" distR="114300" simplePos="0" relativeHeight="251661312" behindDoc="0" locked="0" layoutInCell="1" allowOverlap="1" wp14:anchorId="128F0765" wp14:editId="141B73D4">
          <wp:simplePos x="0" y="0"/>
          <wp:positionH relativeFrom="margin">
            <wp:align>left</wp:align>
          </wp:positionH>
          <wp:positionV relativeFrom="paragraph">
            <wp:posOffset>17145</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
  <w:bookmarkEnd w:id="2"/>
  <w:bookmarkEnd w:id="3"/>
  <w:bookmarkEnd w:id="4"/>
  <w:bookmarkEnd w:id="5"/>
  <w:bookmarkEnd w:id="6"/>
  <w:p w:rsidR="00BD7B74" w:rsidRPr="007261B6" w:rsidRDefault="00BD7B74" w:rsidP="007261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49A" w:rsidRDefault="0054749A" w:rsidP="0054749A">
      <w:pPr>
        <w:spacing w:before="0" w:after="0" w:line="240" w:lineRule="auto"/>
      </w:pPr>
      <w:r>
        <w:separator/>
      </w:r>
    </w:p>
  </w:footnote>
  <w:footnote w:type="continuationSeparator" w:id="0">
    <w:p w:rsidR="0054749A" w:rsidRDefault="0054749A" w:rsidP="0054749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49A" w:rsidRDefault="0054749A" w:rsidP="0054749A">
    <w:pPr>
      <w:pStyle w:val="Kopfzeile"/>
    </w:pPr>
    <w:r>
      <w:rPr>
        <w:noProof/>
      </w:rPr>
      <w:drawing>
        <wp:inline distT="0" distB="0" distL="0" distR="0" wp14:anchorId="76FB4C5E" wp14:editId="21ADB979">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rsidR="0054749A" w:rsidRDefault="0054749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72DF6"/>
    <w:multiLevelType w:val="hybridMultilevel"/>
    <w:tmpl w:val="D722C466"/>
    <w:lvl w:ilvl="0" w:tplc="04070013">
      <w:start w:val="1"/>
      <w:numFmt w:val="upperRoman"/>
      <w:lvlText w:val="%1."/>
      <w:lvlJc w:val="righ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70724F9"/>
    <w:multiLevelType w:val="hybridMultilevel"/>
    <w:tmpl w:val="607291C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15"/>
    <w:rsid w:val="0022514F"/>
    <w:rsid w:val="00502E98"/>
    <w:rsid w:val="0054749A"/>
    <w:rsid w:val="007261B6"/>
    <w:rsid w:val="00A47C5C"/>
    <w:rsid w:val="00BD4615"/>
    <w:rsid w:val="00BD7B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8A56F"/>
  <w15:chartTrackingRefBased/>
  <w15:docId w15:val="{A7550849-7504-4201-8846-1D17147B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D4615"/>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BD46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BD4615"/>
    <w:pPr>
      <w:ind w:left="720"/>
      <w:contextualSpacing/>
    </w:p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BD4615"/>
    <w:rPr>
      <w:rFonts w:eastAsiaTheme="minorEastAsia"/>
      <w:sz w:val="20"/>
      <w:szCs w:val="20"/>
      <w:lang w:val="en-GB"/>
    </w:rPr>
  </w:style>
  <w:style w:type="paragraph" w:customStyle="1" w:styleId="Formatvorlage3">
    <w:name w:val="Formatvorlage3"/>
    <w:basedOn w:val="berschrift2"/>
    <w:link w:val="Formatvorlage3Zchn"/>
    <w:qFormat/>
    <w:rsid w:val="00BD4615"/>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BD4615"/>
    <w:rPr>
      <w:rFonts w:ascii="Open Sans" w:eastAsiaTheme="minorEastAsia" w:hAnsi="Open Sans" w:cs="Open Sans"/>
      <w:color w:val="323C46"/>
      <w:spacing w:val="15"/>
      <w:sz w:val="20"/>
      <w:szCs w:val="20"/>
      <w:shd w:val="clear" w:color="auto" w:fill="46A53C"/>
      <w:lang w:val="en-GB" w:eastAsia="ar-SA"/>
    </w:rPr>
  </w:style>
  <w:style w:type="character" w:customStyle="1" w:styleId="berschrift2Zchn">
    <w:name w:val="Überschrift 2 Zchn"/>
    <w:basedOn w:val="Absatz-Standardschriftart"/>
    <w:link w:val="berschrift2"/>
    <w:uiPriority w:val="9"/>
    <w:semiHidden/>
    <w:rsid w:val="00BD4615"/>
    <w:rPr>
      <w:rFonts w:asciiTheme="majorHAnsi" w:eastAsiaTheme="majorEastAsia" w:hAnsiTheme="majorHAnsi" w:cstheme="majorBidi"/>
      <w:color w:val="2F5496" w:themeColor="accent1" w:themeShade="BF"/>
      <w:sz w:val="26"/>
      <w:szCs w:val="26"/>
      <w:lang w:val="en-GB"/>
    </w:rPr>
  </w:style>
  <w:style w:type="paragraph" w:styleId="Kopfzeile">
    <w:name w:val="header"/>
    <w:basedOn w:val="Standard"/>
    <w:link w:val="KopfzeileZchn"/>
    <w:uiPriority w:val="99"/>
    <w:unhideWhenUsed/>
    <w:rsid w:val="0054749A"/>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54749A"/>
    <w:rPr>
      <w:rFonts w:eastAsiaTheme="minorEastAsia"/>
      <w:sz w:val="20"/>
      <w:szCs w:val="20"/>
      <w:lang w:val="en-GB"/>
    </w:rPr>
  </w:style>
  <w:style w:type="paragraph" w:styleId="Fuzeile">
    <w:name w:val="footer"/>
    <w:basedOn w:val="Standard"/>
    <w:link w:val="FuzeileZchn"/>
    <w:uiPriority w:val="99"/>
    <w:unhideWhenUsed/>
    <w:rsid w:val="0054749A"/>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54749A"/>
    <w:rPr>
      <w:rFonts w:eastAsiaTheme="minorEastAsia"/>
      <w:sz w:val="20"/>
      <w:szCs w:val="20"/>
      <w:lang w:val="en-GB"/>
    </w:rPr>
  </w:style>
  <w:style w:type="paragraph" w:styleId="Sprechblasentext">
    <w:name w:val="Balloon Text"/>
    <w:basedOn w:val="Standard"/>
    <w:link w:val="SprechblasentextZchn"/>
    <w:uiPriority w:val="99"/>
    <w:semiHidden/>
    <w:unhideWhenUsed/>
    <w:rsid w:val="0022514F"/>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2514F"/>
    <w:rPr>
      <w:rFonts w:ascii="Segoe UI" w:eastAsiaTheme="minorEastAsia"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nodeNumber=2.6.10.1&amp;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6771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Hofmann</dc:creator>
  <cp:keywords/>
  <dc:description/>
  <cp:lastModifiedBy>Florian Hofmann</cp:lastModifiedBy>
  <cp:revision>2</cp:revision>
  <dcterms:created xsi:type="dcterms:W3CDTF">2022-02-21T13:50:00Z</dcterms:created>
  <dcterms:modified xsi:type="dcterms:W3CDTF">2022-02-21T13:50:00Z</dcterms:modified>
</cp:coreProperties>
</file>